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ОЯСНИТЕЛЬНАЯ ЗАПИСКА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проекту </w:t>
      </w:r>
      <w:r>
        <w:rPr>
          <w:sz w:val="28"/>
          <w:szCs w:val="28"/>
        </w:rPr>
        <w:t xml:space="preserve">распоряжения</w:t>
      </w:r>
      <w:r>
        <w:rPr>
          <w:sz w:val="28"/>
          <w:szCs w:val="28"/>
        </w:rPr>
        <w:t xml:space="preserve"> Правительства Московской области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«О проекте закона Московской области «О</w:t>
      </w:r>
      <w:r>
        <w:rPr>
          <w:sz w:val="28"/>
          <w:szCs w:val="28"/>
        </w:rPr>
        <w:t xml:space="preserve">б исполнении бюджета Территориального фонда обязательного медицинского страхования Московской области за 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распоряжения Правительства Московской области «О проекте закона Московской области «Об исполнении бюджета Территориального фонда обязательного медицинского страхования Московской области за 2025</w:t>
      </w:r>
      <w:r>
        <w:rPr>
          <w:sz w:val="28"/>
          <w:szCs w:val="28"/>
        </w:rPr>
        <w:t xml:space="preserve"> год» </w:t>
      </w:r>
      <w:r>
        <w:rPr>
          <w:sz w:val="28"/>
          <w:szCs w:val="28"/>
        </w:rPr>
        <w:t xml:space="preserve">разраб</w:t>
      </w:r>
      <w:r>
        <w:rPr>
          <w:sz w:val="28"/>
          <w:szCs w:val="28"/>
        </w:rPr>
        <w:t xml:space="preserve">отан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</w:t>
      </w:r>
      <w:r>
        <w:rPr>
          <w:sz w:val="28"/>
          <w:szCs w:val="28"/>
        </w:rPr>
        <w:t xml:space="preserve"> исполнени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требований</w:t>
      </w:r>
      <w:r>
        <w:rPr>
          <w:sz w:val="28"/>
          <w:szCs w:val="28"/>
        </w:rPr>
        <w:t xml:space="preserve">, установленных</w:t>
      </w:r>
      <w:r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 xml:space="preserve">ым</w:t>
      </w:r>
      <w:r>
        <w:rPr>
          <w:sz w:val="28"/>
          <w:szCs w:val="28"/>
        </w:rPr>
        <w:t xml:space="preserve"> кодекс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Российской Федерации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31.07.1998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145-ФЗ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Московской области № 151/2007-ОЗ «О бюджетном процессе в Московской области».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бюджета Т</w:t>
      </w:r>
      <w:r>
        <w:rPr>
          <w:sz w:val="28"/>
          <w:szCs w:val="28"/>
        </w:rPr>
        <w:t xml:space="preserve">ерриториального фонда обязательного медицинского страхования Московской области </w:t>
      </w:r>
      <w:r>
        <w:rPr>
          <w:sz w:val="28"/>
          <w:szCs w:val="28"/>
        </w:rPr>
        <w:t xml:space="preserve">(далее – Фонд) </w:t>
      </w:r>
      <w:r>
        <w:rPr>
          <w:sz w:val="28"/>
          <w:szCs w:val="28"/>
        </w:rPr>
        <w:t xml:space="preserve">на 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 утвержден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Законом Московской области </w:t>
      </w:r>
      <w:r>
        <w:rPr>
          <w:sz w:val="28"/>
          <w:szCs w:val="28"/>
        </w:rPr>
        <w:t xml:space="preserve">№ 21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/20</w:t>
      </w:r>
      <w:r>
        <w:rPr>
          <w:sz w:val="28"/>
          <w:szCs w:val="28"/>
        </w:rPr>
        <w:t xml:space="preserve">24</w:t>
      </w:r>
      <w:r>
        <w:rPr>
          <w:sz w:val="28"/>
          <w:szCs w:val="28"/>
        </w:rPr>
        <w:t xml:space="preserve">-ОЗ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(в редакции Закона Московской области № </w:t>
      </w:r>
      <w:r>
        <w:rPr>
          <w:sz w:val="28"/>
          <w:szCs w:val="28"/>
        </w:rPr>
        <w:t xml:space="preserve">245</w:t>
      </w:r>
      <w:r>
        <w:rPr>
          <w:sz w:val="28"/>
          <w:szCs w:val="28"/>
        </w:rPr>
        <w:t xml:space="preserve">/20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-ОЗ) (далее – Закон Московской области о бюджет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Фонда на 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год) </w:t>
      </w:r>
      <w:r>
        <w:rPr>
          <w:sz w:val="28"/>
          <w:szCs w:val="28"/>
        </w:rPr>
        <w:t xml:space="preserve">по доходам в сумме </w:t>
        <w:br/>
      </w:r>
      <w:r>
        <w:rPr>
          <w:sz w:val="28"/>
          <w:szCs w:val="28"/>
        </w:rPr>
        <w:t xml:space="preserve">211 463 029,2</w:t>
      </w:r>
      <w:r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ыс.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рублей, </w:t>
      </w:r>
      <w:r>
        <w:rPr>
          <w:sz w:val="28"/>
          <w:szCs w:val="28"/>
        </w:rPr>
        <w:t xml:space="preserve">по расходам </w:t>
      </w:r>
      <w:r>
        <w:rPr>
          <w:sz w:val="28"/>
          <w:szCs w:val="28"/>
        </w:rPr>
        <w:t xml:space="preserve">212 585 406,1</w:t>
      </w:r>
      <w:r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Исполнение бюджета Фонда з</w:t>
      </w:r>
      <w:r>
        <w:rPr>
          <w:sz w:val="28"/>
          <w:szCs w:val="28"/>
        </w:rPr>
        <w:t xml:space="preserve">а 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по доходам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оставило</w:t>
      </w:r>
      <w:r>
        <w:rPr>
          <w:sz w:val="28"/>
          <w:szCs w:val="28"/>
        </w:rPr>
        <w:t xml:space="preserve"> </w:t>
        <w:br/>
      </w:r>
      <w:r>
        <w:rPr>
          <w:sz w:val="28"/>
          <w:szCs w:val="28"/>
        </w:rPr>
        <w:t xml:space="preserve">212 186 013,1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100,3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утвержденн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Исполнение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 расходам составило </w:t>
      </w:r>
      <w:r>
        <w:rPr>
          <w:sz w:val="28"/>
          <w:szCs w:val="28"/>
        </w:rPr>
        <w:t xml:space="preserve">213 089 288,1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</w:t>
      </w:r>
      <w:r>
        <w:rPr>
          <w:sz w:val="28"/>
          <w:szCs w:val="28"/>
        </w:rPr>
        <w:t xml:space="preserve">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99,9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</w:t>
      </w:r>
      <w:r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показател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, утвержденн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сводной </w:t>
      </w:r>
      <w:r>
        <w:rPr>
          <w:sz w:val="28"/>
          <w:szCs w:val="28"/>
        </w:rPr>
        <w:t xml:space="preserve">бюджетной </w:t>
      </w:r>
      <w:r>
        <w:rPr>
          <w:sz w:val="28"/>
          <w:szCs w:val="28"/>
        </w:rPr>
        <w:t xml:space="preserve">роспис</w:t>
      </w:r>
      <w:r>
        <w:rPr>
          <w:sz w:val="28"/>
          <w:szCs w:val="28"/>
        </w:rPr>
        <w:t xml:space="preserve">ью</w:t>
      </w:r>
      <w:r>
        <w:rPr>
          <w:sz w:val="28"/>
          <w:szCs w:val="28"/>
        </w:rPr>
        <w:t xml:space="preserve"> бюджета Фонда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Сумма межбюджетных трансфертов, полученных из </w:t>
      </w:r>
      <w:r>
        <w:rPr>
          <w:sz w:val="28"/>
          <w:szCs w:val="28"/>
        </w:rPr>
        <w:t xml:space="preserve">бюджета Федерального фонда обязательного медицинского страхования</w:t>
      </w:r>
      <w:r>
        <w:rPr>
          <w:sz w:val="28"/>
          <w:szCs w:val="28"/>
        </w:rPr>
        <w:t xml:space="preserve">, составила </w:t>
        <w:br/>
      </w:r>
      <w:r>
        <w:rPr>
          <w:sz w:val="28"/>
          <w:szCs w:val="28"/>
        </w:rPr>
        <w:t xml:space="preserve">180 713 994,8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</w:t>
      </w:r>
      <w:r>
        <w:rPr>
          <w:sz w:val="28"/>
          <w:szCs w:val="28"/>
        </w:rPr>
        <w:t xml:space="preserve">. рублей.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Межбюджетные трансферты из бюджет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субъект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Российской Федерации поступили в </w:t>
      </w:r>
      <w:r>
        <w:rPr>
          <w:sz w:val="28"/>
          <w:szCs w:val="28"/>
        </w:rPr>
        <w:t xml:space="preserve">сумме 15 484 015,9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</w:t>
      </w:r>
      <w:r>
        <w:rPr>
          <w:sz w:val="28"/>
          <w:szCs w:val="28"/>
        </w:rPr>
        <w:t xml:space="preserve"> рублей.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Фонда за 2025 год составил 903 275,0 тыс. рублей.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0"/>
          <w:szCs w:val="28"/>
        </w:rPr>
      </w:pPr>
      <w:r>
        <w:rPr>
          <w:sz w:val="20"/>
          <w:szCs w:val="28"/>
        </w:rPr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jc w:val="center"/>
        <w:spacing w:line="276" w:lineRule="auto"/>
        <w:rPr>
          <w:bCs/>
          <w:sz w:val="28"/>
          <w:szCs w:val="28"/>
        </w:rPr>
        <w:outlineLvl w:val="1"/>
      </w:pPr>
      <w:r>
        <w:rPr>
          <w:bCs/>
          <w:sz w:val="28"/>
          <w:szCs w:val="28"/>
        </w:rPr>
        <w:t xml:space="preserve">Доходы бюджета Фонда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spacing w:line="276" w:lineRule="auto"/>
        <w:rPr>
          <w:bCs/>
          <w:sz w:val="20"/>
          <w:szCs w:val="28"/>
        </w:rPr>
        <w:outlineLvl w:val="1"/>
      </w:pPr>
      <w:r>
        <w:rPr>
          <w:bCs/>
          <w:sz w:val="20"/>
          <w:szCs w:val="28"/>
        </w:rPr>
      </w:r>
      <w:r>
        <w:rPr>
          <w:bCs/>
          <w:sz w:val="20"/>
          <w:szCs w:val="28"/>
        </w:rPr>
      </w:r>
      <w:r>
        <w:rPr>
          <w:bCs/>
          <w:sz w:val="20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</w:t>
      </w:r>
      <w:r>
        <w:rPr>
          <w:sz w:val="28"/>
          <w:szCs w:val="28"/>
        </w:rPr>
        <w:t xml:space="preserve">б</w:t>
      </w:r>
      <w:r>
        <w:rPr>
          <w:sz w:val="28"/>
          <w:szCs w:val="28"/>
        </w:rPr>
        <w:t xml:space="preserve">юджет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Фонда</w:t>
      </w:r>
      <w:r>
        <w:rPr>
          <w:sz w:val="28"/>
          <w:szCs w:val="28"/>
        </w:rPr>
        <w:t xml:space="preserve">, поступивших за 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212 186 013,1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</w:t>
      </w:r>
      <w:r>
        <w:rPr>
          <w:sz w:val="28"/>
          <w:szCs w:val="28"/>
        </w:rPr>
        <w:t xml:space="preserve">лей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Налоговые и неналоговые доходы </w:t>
      </w:r>
      <w:r>
        <w:rPr>
          <w:sz w:val="28"/>
          <w:szCs w:val="28"/>
        </w:rPr>
        <w:t xml:space="preserve">составили</w:t>
      </w:r>
      <w:r>
        <w:rPr>
          <w:sz w:val="28"/>
          <w:szCs w:val="28"/>
        </w:rPr>
        <w:t xml:space="preserve"> 918 572,9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</w:t>
      </w:r>
      <w:r>
        <w:rPr>
          <w:sz w:val="28"/>
          <w:szCs w:val="28"/>
        </w:rPr>
        <w:t xml:space="preserve">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или </w:t>
      </w:r>
      <w:r>
        <w:rPr>
          <w:sz w:val="28"/>
          <w:szCs w:val="28"/>
        </w:rPr>
        <w:t xml:space="preserve">111,1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годовых бюджетных назначений</w:t>
      </w:r>
      <w:r>
        <w:rPr>
          <w:sz w:val="28"/>
          <w:szCs w:val="28"/>
        </w:rPr>
        <w:t xml:space="preserve">, из них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доходы от оказания платных услуг и компенсации затрат государства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65 775,6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ш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трафы, санкции, возмещение ущерба в сумме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79 844,3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тыс. руб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рочие неналоговые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доходы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сумме 772 953,0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тыс. руб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  <w:outlineLvl w:val="2"/>
      </w:pPr>
      <w:r>
        <w:rPr>
          <w:bCs/>
          <w:sz w:val="28"/>
          <w:szCs w:val="28"/>
        </w:rPr>
        <w:t xml:space="preserve">О</w:t>
      </w:r>
      <w:r>
        <w:rPr>
          <w:bCs/>
          <w:sz w:val="28"/>
          <w:szCs w:val="28"/>
        </w:rPr>
        <w:t xml:space="preserve">бщая сумма средств, </w:t>
      </w:r>
      <w:r>
        <w:rPr>
          <w:bCs/>
          <w:sz w:val="28"/>
          <w:szCs w:val="28"/>
        </w:rPr>
        <w:t xml:space="preserve">переданная бюджету</w:t>
      </w:r>
      <w:r>
        <w:rPr>
          <w:bCs/>
          <w:sz w:val="28"/>
          <w:szCs w:val="28"/>
        </w:rPr>
        <w:t xml:space="preserve"> Фонд</w:t>
      </w:r>
      <w:r>
        <w:rPr>
          <w:bCs/>
          <w:sz w:val="28"/>
          <w:szCs w:val="28"/>
        </w:rPr>
        <w:t xml:space="preserve">а</w:t>
      </w:r>
      <w:r>
        <w:rPr>
          <w:bCs/>
          <w:sz w:val="28"/>
          <w:szCs w:val="28"/>
        </w:rPr>
        <w:t xml:space="preserve"> из бюджета Московской области в </w:t>
      </w:r>
      <w:r>
        <w:rPr>
          <w:bCs/>
          <w:sz w:val="28"/>
          <w:szCs w:val="28"/>
        </w:rPr>
        <w:t xml:space="preserve">виде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</w:t>
      </w:r>
      <w:r>
        <w:rPr>
          <w:bCs/>
          <w:sz w:val="28"/>
          <w:szCs w:val="28"/>
        </w:rPr>
        <w:t xml:space="preserve">ежбюджетны</w:t>
      </w:r>
      <w:r>
        <w:rPr>
          <w:bCs/>
          <w:sz w:val="28"/>
          <w:szCs w:val="28"/>
        </w:rPr>
        <w:t xml:space="preserve">х</w:t>
      </w:r>
      <w:r>
        <w:rPr>
          <w:bCs/>
          <w:sz w:val="28"/>
          <w:szCs w:val="28"/>
        </w:rPr>
        <w:t xml:space="preserve"> трансферт</w:t>
      </w:r>
      <w:r>
        <w:rPr>
          <w:bCs/>
          <w:sz w:val="28"/>
          <w:szCs w:val="28"/>
        </w:rPr>
        <w:t xml:space="preserve">ов</w:t>
      </w:r>
      <w:r>
        <w:rPr>
          <w:bCs/>
          <w:sz w:val="28"/>
          <w:szCs w:val="28"/>
        </w:rPr>
        <w:t xml:space="preserve">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составила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15 484 015,9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</w:t>
      </w:r>
      <w:r>
        <w:rPr>
          <w:sz w:val="28"/>
          <w:szCs w:val="28"/>
        </w:rPr>
        <w:t xml:space="preserve">лей</w:t>
      </w:r>
      <w:r>
        <w:rPr>
          <w:sz w:val="28"/>
          <w:szCs w:val="28"/>
        </w:rPr>
        <w:t xml:space="preserve">, в том числе</w:t>
      </w:r>
      <w:r>
        <w:rPr>
          <w:sz w:val="28"/>
          <w:szCs w:val="28"/>
        </w:rPr>
        <w:t xml:space="preserve"> по следующим направлениям финансирования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 дополнительное финансовое обеспечение реализации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территориальной программы обязательного медицинского страхования в части базовой программы обязательного медицинского страхования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сумме </w:t>
        <w:br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11 051 044,9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тыс. рублей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 финансовое обеспечение оказания медицинской помощи лицам, застрахованным по обязательному медицинскому страхованию в Московской области,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 территории других субъектов Российской Федерации, в сумме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2 396 203,5 тыс. рублей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09"/>
        <w:jc w:val="both"/>
        <w:spacing w:line="276" w:lineRule="auto"/>
        <w:rPr>
          <w:sz w:val="28"/>
          <w:szCs w:val="28"/>
          <w14:ligatures w14:val="none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 ф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инансовое обеспечение дополнительных видов и условий оказания медицинской помощи, предоставляемых в дополнение к установленным базовой программой обязательного медицинского страхования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сумме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1 823 294,0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тыс. </w:t>
      </w:r>
      <w:r>
        <w:rPr>
          <w:sz w:val="28"/>
          <w:szCs w:val="28"/>
          <w:lang w:eastAsia="ru-RU"/>
        </w:rPr>
        <w:t xml:space="preserve">рублей, </w:t>
      </w:r>
      <w:r>
        <w:rPr>
          <w:sz w:val="28"/>
          <w:szCs w:val="28"/>
        </w:rPr>
        <w:t xml:space="preserve">в том числе на финансовое обеспечение </w:t>
      </w:r>
      <w:r>
        <w:rPr>
          <w:sz w:val="28"/>
          <w:szCs w:val="28"/>
        </w:rPr>
        <w:t xml:space="preserve">выполнения функций</w:t>
      </w:r>
      <w:r>
        <w:rPr>
          <w:sz w:val="28"/>
          <w:szCs w:val="28"/>
        </w:rPr>
        <w:t xml:space="preserve"> Фонда </w:t>
      </w:r>
      <w:r>
        <w:rPr>
          <w:sz w:val="28"/>
          <w:szCs w:val="28"/>
        </w:rPr>
        <w:br/>
        <w:t xml:space="preserve">3 460,0</w:t>
      </w:r>
      <w:r>
        <w:rPr>
          <w:sz w:val="28"/>
          <w:szCs w:val="28"/>
        </w:rPr>
        <w:t xml:space="preserve"> тыс. рублей</w:t>
      </w:r>
      <w:r>
        <w:rPr>
          <w:sz w:val="28"/>
          <w:szCs w:val="28"/>
          <w:lang w:eastAsia="ru-RU"/>
        </w:rPr>
        <w:t xml:space="preserve">;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медицинской помощи, оказываемой гражданам, не идентифицированным и не застрахованным по программе обязательного медицинского страхования</w:t>
      </w:r>
      <w:r>
        <w:rPr>
          <w:sz w:val="28"/>
          <w:szCs w:val="28"/>
        </w:rPr>
        <w:t xml:space="preserve">, в сумме </w:t>
      </w:r>
      <w:r>
        <w:rPr>
          <w:sz w:val="28"/>
          <w:szCs w:val="28"/>
        </w:rPr>
        <w:t xml:space="preserve">2 609 677,0</w:t>
      </w:r>
      <w:r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рублей</w:t>
      </w:r>
      <w:r>
        <w:rPr>
          <w:sz w:val="28"/>
          <w:szCs w:val="28"/>
        </w:rPr>
        <w:t xml:space="preserve">, в том числе на финансовое обеспечение </w:t>
      </w:r>
      <w:r>
        <w:rPr>
          <w:sz w:val="28"/>
          <w:szCs w:val="28"/>
        </w:rPr>
        <w:t xml:space="preserve">выполнения функций</w:t>
      </w:r>
      <w:r>
        <w:rPr>
          <w:sz w:val="28"/>
          <w:szCs w:val="28"/>
        </w:rPr>
        <w:t xml:space="preserve"> Фонда </w:t>
      </w:r>
      <w:r>
        <w:rPr>
          <w:sz w:val="28"/>
          <w:szCs w:val="28"/>
        </w:rPr>
        <w:br/>
        <w:t xml:space="preserve">9 871,0 </w:t>
      </w:r>
      <w:r>
        <w:rPr>
          <w:sz w:val="28"/>
          <w:szCs w:val="28"/>
        </w:rPr>
        <w:t xml:space="preserve">тыс. рублей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С</w:t>
      </w:r>
      <w:r>
        <w:rPr>
          <w:bCs/>
          <w:sz w:val="28"/>
          <w:szCs w:val="28"/>
        </w:rPr>
        <w:t xml:space="preserve">убвенци</w:t>
      </w:r>
      <w:r>
        <w:rPr>
          <w:bCs/>
          <w:sz w:val="28"/>
          <w:szCs w:val="28"/>
        </w:rPr>
        <w:t xml:space="preserve">я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бюджету Фонда в 20</w:t>
      </w:r>
      <w:r>
        <w:rPr>
          <w:bCs/>
          <w:sz w:val="28"/>
          <w:szCs w:val="28"/>
        </w:rPr>
        <w:t xml:space="preserve">25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</w:rPr>
        <w:t xml:space="preserve">из бюджета Федерального фонда обязательного медицинского страхования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финансовое обеспечение организации обязательного медицинского страхования в Московской области </w:t>
      </w:r>
      <w:r>
        <w:rPr>
          <w:bCs/>
          <w:sz w:val="28"/>
          <w:szCs w:val="28"/>
        </w:rPr>
        <w:t xml:space="preserve">составила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179 800 222,5 </w:t>
      </w:r>
      <w:r>
        <w:rPr>
          <w:sz w:val="28"/>
          <w:szCs w:val="28"/>
        </w:rPr>
        <w:t xml:space="preserve">тыс. рублей</w:t>
      </w:r>
      <w:r>
        <w:rPr>
          <w:sz w:val="28"/>
          <w:szCs w:val="28"/>
        </w:rPr>
        <w:t xml:space="preserve">, или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,0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утвержденного показателя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офинансирование</w:t>
      </w:r>
      <w:r>
        <w:rPr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>
        <w:rPr>
          <w:sz w:val="28"/>
          <w:szCs w:val="28"/>
        </w:rPr>
        <w:t xml:space="preserve">906 200,9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или 212,4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утвержденного показателя.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ежбюджетные трансферты, </w:t>
      </w:r>
      <w:r>
        <w:rPr>
          <w:sz w:val="28"/>
          <w:szCs w:val="28"/>
        </w:rPr>
        <w:t xml:space="preserve">поступившие</w:t>
      </w:r>
      <w:r>
        <w:rPr>
          <w:sz w:val="28"/>
          <w:szCs w:val="28"/>
        </w:rPr>
        <w:t xml:space="preserve">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составили 7 571,4</w:t>
      </w:r>
      <w:r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148,1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от</w:t>
      </w:r>
      <w:r>
        <w:rPr>
          <w:sz w:val="28"/>
          <w:szCs w:val="28"/>
        </w:rPr>
        <w:t xml:space="preserve"> утвержденного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показателя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Средства, поступившие в возмещение расходов за медицинскую </w:t>
      </w:r>
      <w:r>
        <w:rPr>
          <w:rFonts w:ascii="Times New Roman" w:hAnsi="Times New Roman" w:eastAsia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помощь, оказанную медицинскими организациями Московской области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лицам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застрахованным за пределами Московской области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составили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15 165 893,1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тыс.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руб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или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101,6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%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утвержденного показателя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Доходы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Фонда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 возврата остатков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субсидий, субвенций и иных межбюджетных трансфертов, имеющих целевое на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значение, прошлых лет составили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19 982,3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тыс. руб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Возврат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Фондом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остатков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субсидий, субвенций и иных межбюджетных трансфертов, имеющих целевое назначение, прошлых лет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бюджет Федерального фонда обязательного медицинского страхования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бюджет Московской области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бюджет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территориальных фонд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обязательного медицинского страхования других субъектов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Российской Федерации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составил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116 445,9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тыс. руб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left="0" w:firstLine="709"/>
        <w:jc w:val="center"/>
        <w:spacing w:after="0"/>
        <w:rPr>
          <w:rFonts w:ascii="Times New Roman" w:hAnsi="Times New Roman" w:eastAsia="Times New Roman"/>
          <w:sz w:val="20"/>
          <w:szCs w:val="28"/>
          <w:lang w:eastAsia="ru-RU"/>
        </w:rPr>
      </w:pPr>
      <w:r>
        <w:rPr>
          <w:rFonts w:ascii="Times New Roman" w:hAnsi="Times New Roman" w:eastAsia="Times New Roman"/>
          <w:sz w:val="20"/>
          <w:szCs w:val="28"/>
          <w:lang w:eastAsia="ru-RU"/>
        </w:rPr>
      </w:r>
      <w:r>
        <w:rPr>
          <w:rFonts w:ascii="Times New Roman" w:hAnsi="Times New Roman" w:eastAsia="Times New Roman"/>
          <w:sz w:val="20"/>
          <w:szCs w:val="28"/>
          <w:lang w:eastAsia="ru-RU"/>
        </w:rPr>
      </w:r>
      <w:r>
        <w:rPr>
          <w:rFonts w:ascii="Times New Roman" w:hAnsi="Times New Roman" w:eastAsia="Times New Roman"/>
          <w:sz w:val="20"/>
          <w:szCs w:val="28"/>
          <w:lang w:eastAsia="ru-RU"/>
        </w:rPr>
      </w:r>
    </w:p>
    <w:p>
      <w:pPr>
        <w:jc w:val="center"/>
        <w:spacing w:line="276" w:lineRule="auto"/>
        <w:rPr>
          <w:bCs/>
          <w:sz w:val="28"/>
          <w:szCs w:val="28"/>
        </w:rPr>
        <w:outlineLvl w:val="1"/>
      </w:pPr>
      <w:r>
        <w:rPr>
          <w:bCs/>
          <w:sz w:val="28"/>
          <w:szCs w:val="28"/>
        </w:rPr>
        <w:t xml:space="preserve">Расходы бюджета Фонда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66"/>
        <w:ind w:left="0" w:firstLine="709"/>
        <w:jc w:val="center"/>
        <w:spacing w:after="0"/>
        <w:rPr>
          <w:rFonts w:ascii="Times New Roman" w:hAnsi="Times New Roman" w:eastAsia="Times New Roman"/>
          <w:sz w:val="20"/>
          <w:szCs w:val="28"/>
          <w:lang w:eastAsia="ru-RU"/>
        </w:rPr>
      </w:pPr>
      <w:r>
        <w:rPr>
          <w:rFonts w:ascii="Times New Roman" w:hAnsi="Times New Roman" w:eastAsia="Times New Roman"/>
          <w:sz w:val="20"/>
          <w:szCs w:val="28"/>
          <w:lang w:eastAsia="ru-RU"/>
        </w:rPr>
      </w:r>
      <w:r>
        <w:rPr>
          <w:rFonts w:ascii="Times New Roman" w:hAnsi="Times New Roman" w:eastAsia="Times New Roman"/>
          <w:sz w:val="20"/>
          <w:szCs w:val="28"/>
          <w:lang w:eastAsia="ru-RU"/>
        </w:rPr>
      </w:r>
      <w:r>
        <w:rPr>
          <w:rFonts w:ascii="Times New Roman" w:hAnsi="Times New Roman" w:eastAsia="Times New Roman"/>
          <w:sz w:val="20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Расходование средств Фонда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отчетном периоде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осуществлялось </w:t>
      </w:r>
      <w:r>
        <w:rPr>
          <w:rFonts w:ascii="Times New Roman" w:hAnsi="Times New Roman" w:eastAsia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соответствии с целями, установленными Законом Московской области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 бюджете Фонда на 20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25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Общий объем р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асход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ов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20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25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составил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213 089 288,1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тыс. рублей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или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9,9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%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показател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утвержденн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водной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бюджетной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роспис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ью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бюджета Фонда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yellow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yellow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strike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В расходах бюджета основную долю (90,4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%) составили расходы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на финансовое обеспечение Московской областной программы обязательного медицинского страхования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в сумме 192 706 919,4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тыс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. рублей,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в том числе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за счет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/>
          <w:strike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strike/>
          <w:color w:val="ff0000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субвенци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из бюджета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Федерального фонда обязательного медицинского страхования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в сумме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178 765 799,8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тыс.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рублей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или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100,0 %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утвержденного показателя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из которой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расходы на оплату медицинской помощи, оказанной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лицам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, застрахованным по обязательному медицинскому страхованию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в Московской области, за пределами территории страхования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составили </w:t>
        <w:br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15 799 932,3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тыс. рублей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или 100,0 %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утвержденного показателя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средств бюджета Московской области на дополнительное финансирование территориальной программы обязательного медицинского страхования в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рамках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базовой программы обязательного медицинского страхования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в сумме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12 099 433,8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тыс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руб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лей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или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100,0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%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утвержденного показателя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расходы на оплату медицинской помощи, оказанной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лицам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, застрахованным по обязательному медицинскому страхованию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  <w:t xml:space="preserve">в Московской области, за пределами территории страхования составили </w:t>
        <w:br/>
        <w:t xml:space="preserve">2 396 203,5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тыс. рублей, или 100,0 %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утвержденного показателя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color w:val="00000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highlight w:val="none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средств бюджета Московской области на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финансовое обеспечение дополнительных видов и условий оказания медицинской помощи, предоставляемых в дополнение к установленным базовой программой обязательного медицинского страхования в сумме 1 799 140,0 тыс. рублей, или 98,9 % утвержденного показателя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налоговых и неналоговых доходов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в сумме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42 545,8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тыс. рублей, или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100,0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% утвержденного показателя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на финансовое обеспечение организации обязательного медицинского страхования на территории Московской области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(в рамках базовой программы обязательного медицинского страхования) за счет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иных источников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Расходы на оказание медицинской помощи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застрахованным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лицам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по программе обязательного медицинского страхования в других субъектах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Российской Федерации составили 15 158 411,7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тыс. рублей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или 100,0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%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утвержденного показателя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Расходы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на финансовое обеспечение медицинской помощи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гражданам,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не идентифицированным и не застрахованным по обязательному медицинскому страхованию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в рамках Московской областной программы государственных гарантий бесплатного оказания гражданам медицинской помощи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за счет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средств бюджета Московской области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составили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2 599 806,0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тыс. рублей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или 100,0 %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от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утвержденного показателя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Расходы на финансовое обеспечение мероприятий по организации дополнительного профессионального образования медицинских работников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по программам повышения квалификации, а также по приобретению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и проведению ремонта медицинского оборудования составили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  <w:t xml:space="preserve">659 245,7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тыс. рублей или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77,2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%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 утвержденного показателя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Расходы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Софинансирование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расходов медицинских организаций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на оплату труда врачей и среднего медицинского персонала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» составили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906 198,0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или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100,0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%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от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утвержденного показателя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Расходы на ф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и профилактических медицинских осмотров населения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составили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br/>
        <w:t xml:space="preserve">6 967,6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тыс. рублей или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91,7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%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от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утвержденного показателя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Расходы на финансовое обеспечение выполнения функций аппаратом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Фонда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составили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1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0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5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7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3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9,7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или 99,6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%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плановой сумм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866"/>
        <w:ind w:left="0" w:firstLine="709"/>
        <w:jc w:val="both"/>
        <w:spacing w:after="0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За отчетный период нормированный страховой запас Фонда сформирован в размере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48 831 219,5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тыс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руб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или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93,2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% от общего размера, утвержденного Законом Московской области о бюджете Фонда на 2025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год (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52 396 023,8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тыс. рублей).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Принятие данного документа</w:t>
      </w:r>
      <w:r>
        <w:rPr>
          <w:sz w:val="28"/>
          <w:szCs w:val="28"/>
        </w:rPr>
        <w:t xml:space="preserve"> не потребует: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firstLine="709"/>
        <w:jc w:val="both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- экономических, структурных изменений в системе управления;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firstLine="709"/>
        <w:jc w:val="both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- признания утратившими силу, приостановления, изменения или принятия нормативных правовых актов Московской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firstLine="709"/>
        <w:jc w:val="both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Порядок принятия проекта распоряжения осуществляется в соответствии</w:t>
      </w:r>
      <w:r>
        <w:rPr>
          <w:sz w:val="28"/>
          <w:szCs w:val="28"/>
        </w:rPr>
        <w:br/>
        <w:t xml:space="preserve">с постановлением Губернатора Московской области № 150-ПГ «О Регламенте Правительства Московской области».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firstLine="709"/>
        <w:jc w:val="both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Направление представленного </w:t>
      </w:r>
      <w:r>
        <w:rPr>
          <w:sz w:val="28"/>
          <w:szCs w:val="28"/>
        </w:rPr>
        <w:t xml:space="preserve">пр</w:t>
      </w:r>
      <w:bookmarkStart w:id="0" w:name="_GoBack"/>
      <w:r/>
      <w:bookmarkEnd w:id="0"/>
      <w:r>
        <w:rPr>
          <w:sz w:val="28"/>
          <w:szCs w:val="28"/>
        </w:rPr>
        <w:t xml:space="preserve">оект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распоряжения Правительства Московской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Прокуратуру Московской области</w:t>
      </w:r>
      <w:r>
        <w:rPr>
          <w:sz w:val="28"/>
          <w:szCs w:val="28"/>
        </w:rPr>
        <w:t xml:space="preserve"> не требуется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на основании</w:t>
      </w:r>
      <w:r>
        <w:rPr>
          <w:sz w:val="28"/>
          <w:szCs w:val="28"/>
        </w:rPr>
        <w:t xml:space="preserve"> распоряжени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 xml:space="preserve">Московской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196-РГ</w:t>
      </w:r>
      <w:r>
        <w:rPr>
          <w:sz w:val="28"/>
          <w:szCs w:val="28"/>
        </w:rPr>
        <w:t xml:space="preserve"> </w:t>
        <w:br/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 направлении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прокуратуру Московской области нормативных правовых а</w:t>
      </w:r>
      <w:r>
        <w:rPr>
          <w:sz w:val="28"/>
          <w:szCs w:val="28"/>
        </w:rPr>
        <w:t xml:space="preserve">ктов Московской области и их проектов, а также проектов федеральных законов, непосредственно связанных с компетенцией органов прокуратуры, разработанных центральными исполнительными органами Московской области, государственными органами Московской области </w:t>
      </w:r>
      <w:r>
        <w:rPr>
          <w:sz w:val="28"/>
          <w:szCs w:val="28"/>
        </w:rPr>
        <w:t xml:space="preserve">и планируемых к внесению Московской областной Думой в Государственную Думу Федерального Собрания Российской Федерации в порядке законодательной инициативы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firstLine="709"/>
        <w:jc w:val="both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Правовым управлением Фонда проведена правовая и антикоррупционная экспертизы, в результате которых коррупциогенные факторы в тексте проекта распоряжения не выявлены.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закона размещен на сайте</w:t>
      </w:r>
      <w:r>
        <w:rPr>
          <w:color w:val="000000" w:themeColor="text1"/>
          <w:sz w:val="28"/>
          <w:szCs w:val="28"/>
        </w:rPr>
        <w:t xml:space="preserve"> </w:t>
      </w:r>
      <w:hyperlink r:id="rId10" w:tooltip="http://www.mofoms.ru" w:history="1">
        <w:r>
          <w:rPr>
            <w:rStyle w:val="865"/>
            <w:color w:val="000000" w:themeColor="text1"/>
            <w:sz w:val="28"/>
            <w:szCs w:val="28"/>
            <w:lang w:val="en-US"/>
          </w:rPr>
          <w:t xml:space="preserve">www</w:t>
        </w:r>
        <w:r>
          <w:rPr>
            <w:rStyle w:val="865"/>
            <w:color w:val="000000" w:themeColor="text1"/>
            <w:sz w:val="28"/>
            <w:szCs w:val="28"/>
          </w:rPr>
          <w:t xml:space="preserve">.</w:t>
        </w:r>
        <w:r>
          <w:rPr>
            <w:rStyle w:val="865"/>
            <w:color w:val="000000" w:themeColor="text1"/>
            <w:sz w:val="28"/>
            <w:szCs w:val="28"/>
            <w:lang w:val="en-US"/>
          </w:rPr>
          <w:t xml:space="preserve">mofoms</w:t>
        </w:r>
        <w:r>
          <w:rPr>
            <w:rStyle w:val="865"/>
            <w:color w:val="000000" w:themeColor="text1"/>
            <w:sz w:val="28"/>
            <w:szCs w:val="28"/>
          </w:rPr>
          <w:t xml:space="preserve">.</w:t>
        </w:r>
        <w:r>
          <w:rPr>
            <w:rStyle w:val="865"/>
            <w:color w:val="000000" w:themeColor="text1"/>
            <w:sz w:val="28"/>
            <w:szCs w:val="28"/>
            <w:lang w:val="en-US"/>
          </w:rPr>
          <w:t xml:space="preserve">ru</w:t>
        </w:r>
      </w:hyperlink>
      <w:r>
        <w:rPr>
          <w:color w:val="000000" w:themeColor="text1"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spacing w:after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Директор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72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Территориального фонда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обязательного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медицинского страхования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              </w:t>
      </w:r>
      <w:r>
        <w:rPr>
          <w:sz w:val="28"/>
          <w:szCs w:val="28"/>
        </w:rPr>
        <w:tab/>
        <w:t xml:space="preserve">                               </w:t>
      </w: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Е.В. Землякова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1" w:bottom="709" w:left="1418" w:header="709" w:footer="261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7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 xml:space="preserve">4</w:t>
    </w:r>
    <w:r>
      <w:rPr>
        <w:sz w:val="28"/>
        <w:szCs w:val="28"/>
      </w:rPr>
      <w:fldChar w:fldCharType="end"/>
    </w:r>
    <w:r>
      <w:rPr>
        <w:sz w:val="28"/>
        <w:szCs w:val="28"/>
      </w:rPr>
    </w:r>
    <w:r>
      <w:rPr>
        <w:sz w:val="28"/>
        <w:szCs w:val="28"/>
      </w:rPr>
    </w:r>
  </w:p>
  <w:p>
    <w:pPr>
      <w:pStyle w:val="8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4">
    <w:name w:val="Heading 1 Char"/>
    <w:basedOn w:val="859"/>
    <w:link w:val="858"/>
    <w:uiPriority w:val="9"/>
    <w:rPr>
      <w:rFonts w:ascii="Arial" w:hAnsi="Arial" w:eastAsia="Arial" w:cs="Arial"/>
      <w:sz w:val="40"/>
      <w:szCs w:val="40"/>
    </w:rPr>
  </w:style>
  <w:style w:type="paragraph" w:styleId="685">
    <w:name w:val="Heading 2"/>
    <w:basedOn w:val="857"/>
    <w:next w:val="857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6">
    <w:name w:val="Heading 2 Char"/>
    <w:basedOn w:val="859"/>
    <w:link w:val="685"/>
    <w:uiPriority w:val="9"/>
    <w:rPr>
      <w:rFonts w:ascii="Arial" w:hAnsi="Arial" w:eastAsia="Arial" w:cs="Arial"/>
      <w:sz w:val="34"/>
    </w:rPr>
  </w:style>
  <w:style w:type="paragraph" w:styleId="687">
    <w:name w:val="Heading 3"/>
    <w:basedOn w:val="857"/>
    <w:next w:val="857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8">
    <w:name w:val="Heading 3 Char"/>
    <w:basedOn w:val="859"/>
    <w:link w:val="687"/>
    <w:uiPriority w:val="9"/>
    <w:rPr>
      <w:rFonts w:ascii="Arial" w:hAnsi="Arial" w:eastAsia="Arial" w:cs="Arial"/>
      <w:sz w:val="30"/>
      <w:szCs w:val="30"/>
    </w:rPr>
  </w:style>
  <w:style w:type="paragraph" w:styleId="689">
    <w:name w:val="Heading 4"/>
    <w:basedOn w:val="857"/>
    <w:next w:val="857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0">
    <w:name w:val="Heading 4 Char"/>
    <w:basedOn w:val="859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>
    <w:name w:val="Heading 5"/>
    <w:basedOn w:val="857"/>
    <w:next w:val="857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2">
    <w:name w:val="Heading 5 Char"/>
    <w:basedOn w:val="859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857"/>
    <w:next w:val="857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4">
    <w:name w:val="Heading 6 Char"/>
    <w:basedOn w:val="859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>
    <w:name w:val="Heading 7"/>
    <w:basedOn w:val="857"/>
    <w:next w:val="857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7 Char"/>
    <w:basedOn w:val="859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857"/>
    <w:next w:val="857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8">
    <w:name w:val="Heading 8 Char"/>
    <w:basedOn w:val="859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857"/>
    <w:next w:val="857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>
    <w:name w:val="Heading 9 Char"/>
    <w:basedOn w:val="859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basedOn w:val="857"/>
    <w:next w:val="857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basedOn w:val="859"/>
    <w:link w:val="702"/>
    <w:uiPriority w:val="10"/>
    <w:rPr>
      <w:sz w:val="48"/>
      <w:szCs w:val="48"/>
    </w:rPr>
  </w:style>
  <w:style w:type="paragraph" w:styleId="704">
    <w:name w:val="Subtitle"/>
    <w:basedOn w:val="857"/>
    <w:next w:val="857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basedOn w:val="859"/>
    <w:link w:val="704"/>
    <w:uiPriority w:val="11"/>
    <w:rPr>
      <w:sz w:val="24"/>
      <w:szCs w:val="24"/>
    </w:rPr>
  </w:style>
  <w:style w:type="paragraph" w:styleId="706">
    <w:name w:val="Quote"/>
    <w:basedOn w:val="857"/>
    <w:next w:val="857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basedOn w:val="857"/>
    <w:next w:val="857"/>
    <w:link w:val="7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character" w:styleId="710">
    <w:name w:val="Header Char"/>
    <w:basedOn w:val="859"/>
    <w:link w:val="867"/>
    <w:uiPriority w:val="99"/>
  </w:style>
  <w:style w:type="character" w:styleId="711">
    <w:name w:val="Footer Char"/>
    <w:basedOn w:val="859"/>
    <w:link w:val="869"/>
    <w:uiPriority w:val="99"/>
  </w:style>
  <w:style w:type="paragraph" w:styleId="712">
    <w:name w:val="Caption"/>
    <w:basedOn w:val="857"/>
    <w:next w:val="857"/>
    <w:link w:val="7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3">
    <w:name w:val="Caption Char"/>
    <w:basedOn w:val="859"/>
    <w:link w:val="712"/>
    <w:uiPriority w:val="35"/>
    <w:rPr>
      <w:b/>
      <w:bCs/>
      <w:color w:val="4f81bd" w:themeColor="accent1"/>
      <w:sz w:val="18"/>
      <w:szCs w:val="18"/>
    </w:rPr>
  </w:style>
  <w:style w:type="table" w:styleId="714">
    <w:name w:val="Table Grid"/>
    <w:basedOn w:val="86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Table Grid Light"/>
    <w:basedOn w:val="86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1"/>
    <w:basedOn w:val="86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2"/>
    <w:basedOn w:val="86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>
    <w:name w:val="Plain Table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Plain Table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>
    <w:name w:val="Grid Table 4 - Accent 1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4">
    <w:name w:val="Grid Table 4 - Accent 2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5">
    <w:name w:val="Grid Table 4 - Accent 3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6">
    <w:name w:val="Grid Table 4 - Accent 4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7">
    <w:name w:val="Grid Table 4 - Accent 5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8">
    <w:name w:val="Grid Table 4 - Accent 6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9">
    <w:name w:val="Grid Table 5 Dark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6">
    <w:name w:val="Grid Table 6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7">
    <w:name w:val="Grid Table 6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8">
    <w:name w:val="Grid Table 6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9">
    <w:name w:val="Grid Table 6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0">
    <w:name w:val="Grid Table 6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1">
    <w:name w:val="Grid Table 6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6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7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2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9">
    <w:name w:val="List Table 2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0">
    <w:name w:val="List Table 2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1">
    <w:name w:val="List Table 2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2">
    <w:name w:val="List Table 2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3">
    <w:name w:val="List Table 2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4">
    <w:name w:val="List Table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6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6">
    <w:name w:val="List Table 6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List Table 6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List Table 6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9">
    <w:name w:val="List Table 6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List Table 6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1">
    <w:name w:val="List Table 6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2">
    <w:name w:val="List Table 7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3">
    <w:name w:val="List Table 7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4">
    <w:name w:val="List Table 7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5">
    <w:name w:val="List Table 7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6">
    <w:name w:val="List Table 7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7">
    <w:name w:val="List Table 7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8">
    <w:name w:val="List Table 7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9">
    <w:name w:val="Lined - Accent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Lined - Accent 1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Lined - Accent 2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Lined - Accent 3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Lined - Accent 4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Lined - Accent 5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Lined - Accent 6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 &amp; Lined - Accent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Bordered &amp; Lined - Accent 1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Bordered &amp; Lined - Accent 2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Bordered &amp; Lined - Accent 3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Bordered &amp; Lined - Accent 4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Bordered &amp; Lined - Accent 5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Bordered &amp; Lined - Accent 6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4">
    <w:name w:val="Bordered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5">
    <w:name w:val="Bordered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6">
    <w:name w:val="Bordered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7">
    <w:name w:val="Bordered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8">
    <w:name w:val="Bordered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9">
    <w:name w:val="Bordered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0">
    <w:name w:val="footnote text"/>
    <w:basedOn w:val="857"/>
    <w:link w:val="841"/>
    <w:uiPriority w:val="99"/>
    <w:semiHidden/>
    <w:unhideWhenUsed/>
    <w:pPr>
      <w:spacing w:after="40" w:line="240" w:lineRule="auto"/>
    </w:pPr>
    <w:rPr>
      <w:sz w:val="18"/>
    </w:rPr>
  </w:style>
  <w:style w:type="character" w:styleId="841">
    <w:name w:val="Footnote Text Char"/>
    <w:link w:val="840"/>
    <w:uiPriority w:val="99"/>
    <w:rPr>
      <w:sz w:val="18"/>
    </w:rPr>
  </w:style>
  <w:style w:type="character" w:styleId="842">
    <w:name w:val="footnote reference"/>
    <w:basedOn w:val="859"/>
    <w:uiPriority w:val="99"/>
    <w:unhideWhenUsed/>
    <w:rPr>
      <w:vertAlign w:val="superscript"/>
    </w:rPr>
  </w:style>
  <w:style w:type="paragraph" w:styleId="843">
    <w:name w:val="endnote text"/>
    <w:basedOn w:val="857"/>
    <w:link w:val="844"/>
    <w:uiPriority w:val="99"/>
    <w:semiHidden/>
    <w:unhideWhenUsed/>
    <w:pPr>
      <w:spacing w:after="0" w:line="240" w:lineRule="auto"/>
    </w:pPr>
    <w:rPr>
      <w:sz w:val="20"/>
    </w:rPr>
  </w:style>
  <w:style w:type="character" w:styleId="844">
    <w:name w:val="Endnote Text Char"/>
    <w:link w:val="843"/>
    <w:uiPriority w:val="99"/>
    <w:rPr>
      <w:sz w:val="20"/>
    </w:rPr>
  </w:style>
  <w:style w:type="character" w:styleId="845">
    <w:name w:val="endnote reference"/>
    <w:basedOn w:val="859"/>
    <w:uiPriority w:val="99"/>
    <w:semiHidden/>
    <w:unhideWhenUsed/>
    <w:rPr>
      <w:vertAlign w:val="superscript"/>
    </w:rPr>
  </w:style>
  <w:style w:type="paragraph" w:styleId="846">
    <w:name w:val="toc 1"/>
    <w:basedOn w:val="857"/>
    <w:next w:val="857"/>
    <w:uiPriority w:val="39"/>
    <w:unhideWhenUsed/>
    <w:pPr>
      <w:ind w:left="0" w:right="0" w:firstLine="0"/>
      <w:spacing w:after="57"/>
    </w:pPr>
  </w:style>
  <w:style w:type="paragraph" w:styleId="847">
    <w:name w:val="toc 2"/>
    <w:basedOn w:val="857"/>
    <w:next w:val="857"/>
    <w:uiPriority w:val="39"/>
    <w:unhideWhenUsed/>
    <w:pPr>
      <w:ind w:left="283" w:right="0" w:firstLine="0"/>
      <w:spacing w:after="57"/>
    </w:pPr>
  </w:style>
  <w:style w:type="paragraph" w:styleId="848">
    <w:name w:val="toc 3"/>
    <w:basedOn w:val="857"/>
    <w:next w:val="857"/>
    <w:uiPriority w:val="39"/>
    <w:unhideWhenUsed/>
    <w:pPr>
      <w:ind w:left="567" w:right="0" w:firstLine="0"/>
      <w:spacing w:after="57"/>
    </w:pPr>
  </w:style>
  <w:style w:type="paragraph" w:styleId="849">
    <w:name w:val="toc 4"/>
    <w:basedOn w:val="857"/>
    <w:next w:val="857"/>
    <w:uiPriority w:val="39"/>
    <w:unhideWhenUsed/>
    <w:pPr>
      <w:ind w:left="850" w:right="0" w:firstLine="0"/>
      <w:spacing w:after="57"/>
    </w:pPr>
  </w:style>
  <w:style w:type="paragraph" w:styleId="850">
    <w:name w:val="toc 5"/>
    <w:basedOn w:val="857"/>
    <w:next w:val="857"/>
    <w:uiPriority w:val="39"/>
    <w:unhideWhenUsed/>
    <w:pPr>
      <w:ind w:left="1134" w:right="0" w:firstLine="0"/>
      <w:spacing w:after="57"/>
    </w:pPr>
  </w:style>
  <w:style w:type="paragraph" w:styleId="851">
    <w:name w:val="toc 6"/>
    <w:basedOn w:val="857"/>
    <w:next w:val="857"/>
    <w:uiPriority w:val="39"/>
    <w:unhideWhenUsed/>
    <w:pPr>
      <w:ind w:left="1417" w:right="0" w:firstLine="0"/>
      <w:spacing w:after="57"/>
    </w:pPr>
  </w:style>
  <w:style w:type="paragraph" w:styleId="852">
    <w:name w:val="toc 7"/>
    <w:basedOn w:val="857"/>
    <w:next w:val="857"/>
    <w:uiPriority w:val="39"/>
    <w:unhideWhenUsed/>
    <w:pPr>
      <w:ind w:left="1701" w:right="0" w:firstLine="0"/>
      <w:spacing w:after="57"/>
    </w:pPr>
  </w:style>
  <w:style w:type="paragraph" w:styleId="853">
    <w:name w:val="toc 8"/>
    <w:basedOn w:val="857"/>
    <w:next w:val="857"/>
    <w:uiPriority w:val="39"/>
    <w:unhideWhenUsed/>
    <w:pPr>
      <w:ind w:left="1984" w:right="0" w:firstLine="0"/>
      <w:spacing w:after="57"/>
    </w:pPr>
  </w:style>
  <w:style w:type="paragraph" w:styleId="854">
    <w:name w:val="toc 9"/>
    <w:basedOn w:val="857"/>
    <w:next w:val="857"/>
    <w:uiPriority w:val="39"/>
    <w:unhideWhenUsed/>
    <w:pPr>
      <w:ind w:left="2268" w:right="0" w:firstLine="0"/>
      <w:spacing w:after="57"/>
    </w:pPr>
  </w:style>
  <w:style w:type="paragraph" w:styleId="855">
    <w:name w:val="TOC Heading"/>
    <w:uiPriority w:val="39"/>
    <w:unhideWhenUsed/>
  </w:style>
  <w:style w:type="paragraph" w:styleId="856">
    <w:name w:val="table of figures"/>
    <w:basedOn w:val="857"/>
    <w:next w:val="857"/>
    <w:uiPriority w:val="99"/>
    <w:unhideWhenUsed/>
    <w:pPr>
      <w:spacing w:after="0" w:afterAutospacing="0"/>
    </w:pPr>
  </w:style>
  <w:style w:type="paragraph" w:styleId="857" w:default="1">
    <w:name w:val="Normal"/>
    <w:qFormat/>
    <w:rPr>
      <w:sz w:val="24"/>
      <w:szCs w:val="24"/>
    </w:rPr>
  </w:style>
  <w:style w:type="paragraph" w:styleId="858">
    <w:name w:val="Heading 1"/>
    <w:basedOn w:val="857"/>
    <w:next w:val="857"/>
    <w:link w:val="871"/>
    <w:qFormat/>
    <w:pPr>
      <w:jc w:val="center"/>
      <w:keepNext/>
      <w:outlineLvl w:val="0"/>
    </w:pPr>
    <w:rPr>
      <w:szCs w:val="20"/>
    </w:rPr>
  </w:style>
  <w:style w:type="character" w:styleId="859" w:default="1">
    <w:name w:val="Default Paragraph Font"/>
    <w:uiPriority w:val="1"/>
    <w:semiHidden/>
    <w:unhideWhenUsed/>
  </w:style>
  <w:style w:type="table" w:styleId="86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1" w:default="1">
    <w:name w:val="No List"/>
    <w:uiPriority w:val="99"/>
    <w:semiHidden/>
    <w:unhideWhenUsed/>
  </w:style>
  <w:style w:type="paragraph" w:styleId="862">
    <w:name w:val="Document Map"/>
    <w:basedOn w:val="857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863">
    <w:name w:val="Balloon Text"/>
    <w:basedOn w:val="857"/>
    <w:semiHidden/>
    <w:rPr>
      <w:rFonts w:ascii="Tahoma" w:hAnsi="Tahoma" w:cs="Tahoma"/>
      <w:sz w:val="16"/>
      <w:szCs w:val="16"/>
    </w:rPr>
  </w:style>
  <w:style w:type="paragraph" w:styleId="864">
    <w:name w:val="Body Text 3"/>
    <w:basedOn w:val="857"/>
    <w:pPr>
      <w:spacing w:after="120"/>
    </w:pPr>
    <w:rPr>
      <w:sz w:val="16"/>
      <w:szCs w:val="16"/>
    </w:rPr>
  </w:style>
  <w:style w:type="character" w:styleId="865">
    <w:name w:val="Hyperlink"/>
    <w:rPr>
      <w:color w:val="0000ff"/>
      <w:u w:val="single"/>
    </w:rPr>
  </w:style>
  <w:style w:type="paragraph" w:styleId="866">
    <w:name w:val="List Paragraph"/>
    <w:basedOn w:val="857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867">
    <w:name w:val="Header"/>
    <w:basedOn w:val="857"/>
    <w:link w:val="868"/>
    <w:uiPriority w:val="99"/>
    <w:pPr>
      <w:tabs>
        <w:tab w:val="center" w:pos="4677" w:leader="none"/>
        <w:tab w:val="right" w:pos="9355" w:leader="none"/>
      </w:tabs>
    </w:pPr>
  </w:style>
  <w:style w:type="character" w:styleId="868" w:customStyle="1">
    <w:name w:val="Верхний колонтитул Знак"/>
    <w:link w:val="867"/>
    <w:uiPriority w:val="99"/>
    <w:rPr>
      <w:sz w:val="24"/>
      <w:szCs w:val="24"/>
    </w:rPr>
  </w:style>
  <w:style w:type="paragraph" w:styleId="869">
    <w:name w:val="Footer"/>
    <w:basedOn w:val="857"/>
    <w:link w:val="870"/>
    <w:uiPriority w:val="99"/>
    <w:pPr>
      <w:tabs>
        <w:tab w:val="center" w:pos="4677" w:leader="none"/>
        <w:tab w:val="right" w:pos="9355" w:leader="none"/>
      </w:tabs>
    </w:pPr>
  </w:style>
  <w:style w:type="character" w:styleId="870" w:customStyle="1">
    <w:name w:val="Нижний колонтитул Знак"/>
    <w:link w:val="869"/>
    <w:uiPriority w:val="99"/>
    <w:rPr>
      <w:sz w:val="24"/>
      <w:szCs w:val="24"/>
    </w:rPr>
  </w:style>
  <w:style w:type="character" w:styleId="871" w:customStyle="1">
    <w:name w:val="Заголовок 1 Знак"/>
    <w:link w:val="858"/>
    <w:rPr>
      <w:sz w:val="24"/>
    </w:rPr>
  </w:style>
  <w:style w:type="paragraph" w:styleId="872">
    <w:name w:val="Body Text"/>
    <w:basedOn w:val="857"/>
    <w:link w:val="873"/>
    <w:unhideWhenUsed/>
    <w:pPr>
      <w:spacing w:after="120"/>
    </w:pPr>
  </w:style>
  <w:style w:type="character" w:styleId="873" w:customStyle="1">
    <w:name w:val="Основной текст Знак"/>
    <w:basedOn w:val="859"/>
    <w:link w:val="872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://www.mofoms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mofoms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pahom</dc:creator>
  <cp:lastModifiedBy>kazanenko_iv</cp:lastModifiedBy>
  <cp:revision>231</cp:revision>
  <dcterms:created xsi:type="dcterms:W3CDTF">2021-04-12T11:40:00Z</dcterms:created>
  <dcterms:modified xsi:type="dcterms:W3CDTF">2026-04-01T05:52:45Z</dcterms:modified>
</cp:coreProperties>
</file>